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Default="003B30EC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  <w:r w:rsidRPr="003B30EC">
        <w:rPr>
          <w:rFonts w:eastAsia="Calibri"/>
          <w:b/>
          <w:sz w:val="28"/>
          <w:szCs w:val="28"/>
          <w:lang w:val="kk-KZ" w:eastAsia="en-US"/>
        </w:rPr>
        <w:t>Топографиялық-геодезиялық жұмыстарды автоматтандыру</w:t>
      </w:r>
    </w:p>
    <w:p w:rsidR="003B30EC" w:rsidRDefault="003B30EC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</w:p>
    <w:p w:rsidR="003B30EC" w:rsidRPr="00452463" w:rsidRDefault="003B30E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5957AE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5957AE">
        <w:rPr>
          <w:rFonts w:eastAsia="Calibri"/>
          <w:sz w:val="28"/>
          <w:szCs w:val="28"/>
          <w:lang w:val="kk-KZ" w:eastAsia="en-US"/>
        </w:rPr>
        <w:t>Кеңістіктік ақпараттардың инфрақұрылымдық cтандарттары</w:t>
      </w:r>
      <w:r>
        <w:rPr>
          <w:rFonts w:eastAsia="Calibri"/>
          <w:sz w:val="28"/>
          <w:szCs w:val="28"/>
          <w:lang w:val="kk-KZ" w:eastAsia="en-US"/>
        </w:rPr>
        <w:t xml:space="preserve"> (</w:t>
      </w:r>
      <w:r w:rsidRPr="005957AE">
        <w:rPr>
          <w:rFonts w:eastAsia="Calibri"/>
          <w:sz w:val="28"/>
          <w:szCs w:val="28"/>
          <w:lang w:val="kk-KZ" w:eastAsia="en-US"/>
        </w:rPr>
        <w:t>Инфраструктурные стандарты пространственной информаци</w:t>
      </w:r>
      <w:r>
        <w:rPr>
          <w:rFonts w:eastAsia="Calibri"/>
          <w:sz w:val="28"/>
          <w:szCs w:val="28"/>
          <w:lang w:val="kk-KZ" w:eastAsia="en-US"/>
        </w:rPr>
        <w:t>) тақырыбына презентация.</w:t>
      </w:r>
      <w:bookmarkStart w:id="0" w:name="_GoBack"/>
      <w:bookmarkEnd w:id="0"/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презентация 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>15-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</w:t>
      </w:r>
    </w:p>
    <w:p w:rsidR="00321B31" w:rsidRDefault="00321B31" w:rsidP="00321B31">
      <w:pPr>
        <w:jc w:val="center"/>
        <w:rPr>
          <w:sz w:val="28"/>
          <w:szCs w:val="28"/>
          <w:lang w:val="kk-KZ"/>
        </w:rPr>
      </w:pPr>
    </w:p>
    <w:p w:rsidR="003B30EC" w:rsidRPr="00452463" w:rsidRDefault="003B30EC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1. Соловьев Ю.А. Системы спутниковой навигации. - М.: Эко-Трэндз,2000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2. Попов И.В., Чикинев М.А. Эффективное использование ArcObjects. - Новосибирск: Издательство СО РАН, 2003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3. Позняк А.С. Алгоритмы и программы для решения типовых геодезических задач. - Минск: БНТУ, 2008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4. Неволин А.Г., Басаргин А.А. Обработка результатов наземного лазерного сканирования. - Новосибирск: СГГА, 2012</w:t>
      </w: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5. Ворошилов А.П. Спутниковые системы и электронные тахеометры в обеспечении строительных работ. - Челябинск: АКСВЕЛЛ, 2007</w:t>
      </w:r>
    </w:p>
    <w:p w:rsid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</w:p>
    <w:p w:rsid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center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Қосымша әдебиет</w:t>
      </w:r>
    </w:p>
    <w:p w:rsid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</w:p>
    <w:p w:rsidR="003B30EC" w:rsidRPr="003B30EC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3B30EC">
        <w:rPr>
          <w:bCs/>
          <w:sz w:val="24"/>
          <w:szCs w:val="24"/>
          <w:lang w:val="kk-KZ"/>
        </w:rPr>
        <w:t>6. https://www.qgistutorials.com/ru/</w:t>
      </w:r>
    </w:p>
    <w:p w:rsidR="00452463" w:rsidRDefault="003B30EC" w:rsidP="003B30E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  <w:r w:rsidRPr="003B30EC">
        <w:rPr>
          <w:bCs/>
          <w:sz w:val="24"/>
          <w:szCs w:val="24"/>
          <w:lang w:val="kk-KZ"/>
        </w:rPr>
        <w:t>7. Геодезические программы [Электронный ресурс]; Geostart (геостарт) – геодезический портал. – 2017.</w:t>
      </w:r>
    </w:p>
    <w:sectPr w:rsidR="00452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3B30EC"/>
    <w:rsid w:val="00452463"/>
    <w:rsid w:val="004A720C"/>
    <w:rsid w:val="00505515"/>
    <w:rsid w:val="005957AE"/>
    <w:rsid w:val="005E6695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15</cp:revision>
  <dcterms:created xsi:type="dcterms:W3CDTF">2020-03-26T19:58:00Z</dcterms:created>
  <dcterms:modified xsi:type="dcterms:W3CDTF">2020-12-19T06:47:00Z</dcterms:modified>
</cp:coreProperties>
</file>